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FC" w:rsidRDefault="001233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33FC" w:rsidRDefault="001233FC">
      <w:pPr>
        <w:pStyle w:val="ConsPlusNormal"/>
        <w:jc w:val="both"/>
        <w:outlineLvl w:val="0"/>
      </w:pPr>
    </w:p>
    <w:p w:rsidR="001233FC" w:rsidRDefault="001233FC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1233FC" w:rsidRDefault="001233FC">
      <w:pPr>
        <w:pStyle w:val="ConsPlusTitle"/>
        <w:jc w:val="center"/>
      </w:pPr>
    </w:p>
    <w:p w:rsidR="001233FC" w:rsidRDefault="001233FC">
      <w:pPr>
        <w:pStyle w:val="ConsPlusTitle"/>
        <w:jc w:val="center"/>
      </w:pPr>
      <w:r>
        <w:t>ПРИКАЗ</w:t>
      </w:r>
    </w:p>
    <w:p w:rsidR="001233FC" w:rsidRDefault="001233FC">
      <w:pPr>
        <w:pStyle w:val="ConsPlusTitle"/>
        <w:jc w:val="center"/>
      </w:pPr>
      <w:r>
        <w:t>от 27 декабря 2016 г. N 844</w:t>
      </w:r>
    </w:p>
    <w:p w:rsidR="001233FC" w:rsidRDefault="001233FC">
      <w:pPr>
        <w:pStyle w:val="ConsPlusTitle"/>
        <w:jc w:val="center"/>
      </w:pPr>
    </w:p>
    <w:p w:rsidR="001233FC" w:rsidRDefault="001233FC">
      <w:pPr>
        <w:pStyle w:val="ConsPlusTitle"/>
        <w:jc w:val="center"/>
      </w:pPr>
      <w:r>
        <w:t>ОБ УТВЕРЖДЕНИИ МЕТОДИЧЕСКИХ РЕКОМЕНДАЦИЙ</w:t>
      </w:r>
    </w:p>
    <w:p w:rsidR="001233FC" w:rsidRDefault="001233FC">
      <w:pPr>
        <w:pStyle w:val="ConsPlusTitle"/>
        <w:jc w:val="center"/>
      </w:pPr>
      <w:r>
        <w:t>ПО ОБЕСПЕЧЕНИЮ ДЕЯТЕЛЬНОСТИ МНОГОФУНКЦИОНАЛЬНЫХ ЦЕНТРОВ</w:t>
      </w:r>
    </w:p>
    <w:p w:rsidR="001233FC" w:rsidRDefault="001233FC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233FC" w:rsidRDefault="001233FC">
      <w:pPr>
        <w:pStyle w:val="ConsPlusTitle"/>
        <w:jc w:val="center"/>
      </w:pPr>
      <w:r>
        <w:t>В ЧАСТИ ФУНКЦИОНИРОВАНИЯ ИНФОРМАЦИОННЫХ СИСТЕМ</w:t>
      </w:r>
    </w:p>
    <w:p w:rsidR="001233FC" w:rsidRDefault="001233FC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1233FC" w:rsidRDefault="001233FC">
      <w:pPr>
        <w:pStyle w:val="ConsPlusTitle"/>
        <w:jc w:val="center"/>
      </w:pPr>
      <w:r>
        <w:t>И МУНИЦИПАЛЬНЫХ УСЛУГ, СРЕДСТВ БЕЗОПАСНОСТИ, КАНАЛОВ СВЯЗИ</w:t>
      </w:r>
    </w:p>
    <w:p w:rsidR="001233FC" w:rsidRDefault="001233FC">
      <w:pPr>
        <w:pStyle w:val="ConsPlusTitle"/>
        <w:jc w:val="center"/>
      </w:pPr>
      <w:r>
        <w:t>ДЛЯ ОБЕСПЕЧЕНИЯ ЭЛЕКТРОННОГО ВЗАИМОДЕЙСТВИЯ С ФЕДЕРАЛЬНЫМИ</w:t>
      </w:r>
    </w:p>
    <w:p w:rsidR="001233FC" w:rsidRDefault="001233FC">
      <w:pPr>
        <w:pStyle w:val="ConsPlusTitle"/>
        <w:jc w:val="center"/>
      </w:pPr>
      <w:r>
        <w:t>ОРГАНАМИ ИСПОЛНИТЕЛЬНОЙ ВЛАСТИ, ОРГАНАМИ ГОСУДАРСТВЕННЫХ</w:t>
      </w:r>
    </w:p>
    <w:p w:rsidR="001233FC" w:rsidRDefault="001233FC">
      <w:pPr>
        <w:pStyle w:val="ConsPlusTitle"/>
        <w:jc w:val="center"/>
      </w:pPr>
      <w:r>
        <w:t>ВНЕБЮДЖЕТНЫХ ФОНДОВ, ИСПОЛНИТЕЛЬНЫМИ ОРГАНАМИ</w:t>
      </w:r>
    </w:p>
    <w:p w:rsidR="001233FC" w:rsidRDefault="001233FC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1233FC" w:rsidRDefault="001233FC">
      <w:pPr>
        <w:pStyle w:val="ConsPlusTitle"/>
        <w:jc w:val="center"/>
      </w:pPr>
      <w:r>
        <w:t>ОРГАНАМИ МЕСТНОГО САМОУПРАВЛЕНИЯ ПРИ ПРЕДОСТАВЛЕНИИ</w:t>
      </w:r>
    </w:p>
    <w:p w:rsidR="001233FC" w:rsidRDefault="001233FC">
      <w:pPr>
        <w:pStyle w:val="ConsPlusTitle"/>
        <w:jc w:val="center"/>
      </w:pPr>
      <w:r>
        <w:t>ГОСУДАРСТВЕННЫХ И МУНИЦИПАЛЬНЫХ УСЛУГ</w:t>
      </w:r>
    </w:p>
    <w:p w:rsidR="001233FC" w:rsidRDefault="001233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33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3FC" w:rsidRDefault="001233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3FC" w:rsidRDefault="001233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28.04.2022 N 237)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</w:tr>
    </w:tbl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пункта 5.3.28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N 41, ст. 4777; N 46, ст. 5488; 2010, N 5, ст. 532; N 9, ст. 960; N 10, ст. 1085; N 21, ст. 2602; N 26, ст. 3350; N 40, ст. 5068; N 41, ст. 5240; N 45, ст. 5860; N 52, ст. 7104; 2011, N 9, ст. 1251; N 12, ст. 1640; N 15, ст. 2131; N 17, ст. 2411, 2424; N 32, ст. 4834; N 36, ст. 5149, 5151; N 39, ст. 5485; N 43, ст. 6079; N 46, ст. 6527; 2012, N 1, ст. 170; N 13, ст. 1531; N 19, ст. 2436, 2444; N 27, ст. 3745, 3766; N 37, ст. 5001; N 39, ст. 5284; N 51, ст. 7236; N 52, ст. 7491; N 53, ст. 7943; 2013, N 5, ст. 391; N 14, ст. 1705; N 33, ст. 4386; N 35, ст. 4514; N 36, ст. 4578; N 45, ст. 5822; N 47, ст. 6120; N 50, ст. 6606; N 52, ст. 7217; 2014, N 6, ст. 584; N 15, ст. 1750; N 16, ст. 1900; N 21, ст. 2712; N 37, ст. 4954; N 40, ст. 5426; N 42, ст. 5757; N 44, ст. 6072; N 48, ст. 6871; N 49, ст. 6957; N 50, ст. 7100, 7123; N 51, ст. 7446; 2015, N 1, ст. 219; N 6, ст. 965; N 7, ст. 1046; N 16, ст. 2388; N 20, ст. 2920; N 22, ст. 3230; N 24, ст. 3479; N 30, ст. 4589; N 36, ст. 5050; N 43, ст. 5977; N 44, ст. 6140; N 46, ст. 6377, 6388; 2016, N 7, ст. 994; N 46, ст. 6377; N 2, ст. 325; N 17, ст. 2410; N 23, ст. 3312; N 28, ст. 4741; N 29, ст. 4822; N 31, ст. 5013; N 35, ст. 5332; N 50, ст. 7099), приказываю: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Методические рекомендации</w:t>
        </w:r>
      </w:hyperlink>
      <w:r>
        <w:t xml:space="preserve">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муниципальных услуг, средств безопасности, каналов связи для обеспечения электронного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при предоставлении государственных и муниципальных услуг (далее - Методические рекомендации).</w:t>
      </w:r>
    </w:p>
    <w:p w:rsidR="001233FC" w:rsidRDefault="001233FC">
      <w:pPr>
        <w:pStyle w:val="ConsPlusNormal"/>
        <w:spacing w:before="200"/>
        <w:ind w:firstLine="540"/>
        <w:jc w:val="both"/>
      </w:pPr>
      <w:bookmarkStart w:id="0" w:name="P23"/>
      <w:bookmarkEnd w:id="0"/>
      <w:r>
        <w:t xml:space="preserve">2. Настоящий приказ вступает в силу с даты его подписания, за исключением </w:t>
      </w:r>
      <w:hyperlink w:anchor="P91">
        <w:r>
          <w:rPr>
            <w:color w:val="0000FF"/>
          </w:rPr>
          <w:t>пункта 1.7 раздела IV</w:t>
        </w:r>
      </w:hyperlink>
      <w:r>
        <w:t xml:space="preserve"> Методических рекомендаций, который вступает в силу с 1 декабря 2017 года.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3. </w:t>
      </w:r>
      <w:hyperlink r:id="rId7">
        <w:r>
          <w:rPr>
            <w:color w:val="0000FF"/>
          </w:rPr>
          <w:t>Приказ</w:t>
        </w:r>
      </w:hyperlink>
      <w:r>
        <w:t xml:space="preserve"> Минэкономразвития России от 22 января 2014 г. N 21 "Об утверждении Методических рекомендаций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муниципальных услуг, средств безопасности, каналов связи для обеспечения электронного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при предоставлении государственных и муниципальных услуг" признать утратившим силу.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right"/>
      </w:pPr>
      <w:r>
        <w:t>Министр</w:t>
      </w:r>
    </w:p>
    <w:p w:rsidR="001233FC" w:rsidRDefault="001233FC">
      <w:pPr>
        <w:pStyle w:val="ConsPlusNormal"/>
        <w:jc w:val="right"/>
      </w:pPr>
      <w:r>
        <w:t>М.С.ОРЕШКИН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right"/>
        <w:outlineLvl w:val="0"/>
      </w:pPr>
      <w:r>
        <w:t>Утверждены</w:t>
      </w:r>
    </w:p>
    <w:p w:rsidR="001233FC" w:rsidRDefault="001233FC">
      <w:pPr>
        <w:pStyle w:val="ConsPlusNormal"/>
        <w:jc w:val="right"/>
      </w:pPr>
      <w:r>
        <w:t>приказом Минэкономразвития России</w:t>
      </w:r>
    </w:p>
    <w:p w:rsidR="001233FC" w:rsidRDefault="001233FC">
      <w:pPr>
        <w:pStyle w:val="ConsPlusNormal"/>
        <w:jc w:val="right"/>
      </w:pPr>
      <w:r>
        <w:t>от 27.12.2016 N 844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</w:pPr>
      <w:bookmarkStart w:id="1" w:name="P37"/>
      <w:bookmarkEnd w:id="1"/>
      <w:r>
        <w:t>МЕТОДИЧЕСКИЕ РЕКОМЕНДАЦИИ</w:t>
      </w:r>
    </w:p>
    <w:p w:rsidR="001233FC" w:rsidRDefault="001233FC">
      <w:pPr>
        <w:pStyle w:val="ConsPlusTitle"/>
        <w:jc w:val="center"/>
      </w:pPr>
      <w:r>
        <w:t>ПО ОБЕСПЕЧЕНИЮ ДЕЯТЕЛЬНОСТИ МНОГОФУНКЦИОНАЛЬНЫХ ЦЕНТРОВ</w:t>
      </w:r>
    </w:p>
    <w:p w:rsidR="001233FC" w:rsidRDefault="001233FC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233FC" w:rsidRDefault="001233FC">
      <w:pPr>
        <w:pStyle w:val="ConsPlusTitle"/>
        <w:jc w:val="center"/>
      </w:pPr>
      <w:r>
        <w:t>В ЧАСТИ ФУНКЦИОНИРОВАНИЯ ИНФОРМАЦИОННЫХ СИСТЕМ</w:t>
      </w:r>
    </w:p>
    <w:p w:rsidR="001233FC" w:rsidRDefault="001233FC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1233FC" w:rsidRDefault="001233FC">
      <w:pPr>
        <w:pStyle w:val="ConsPlusTitle"/>
        <w:jc w:val="center"/>
      </w:pPr>
      <w:r>
        <w:t>И МУНИЦИПАЛЬНЫХ УСЛУГ, СРЕДСТВ БЕЗОПАСНОСТИ, КАНАЛОВ СВЯЗИ</w:t>
      </w:r>
    </w:p>
    <w:p w:rsidR="001233FC" w:rsidRDefault="001233FC">
      <w:pPr>
        <w:pStyle w:val="ConsPlusTitle"/>
        <w:jc w:val="center"/>
      </w:pPr>
      <w:r>
        <w:t>ДЛЯ ОБЕСПЕЧЕНИЯ ЭЛЕКТРОННОГО ВЗАИМОДЕЙСТВИЯ С ФЕДЕРАЛЬНЫМИ</w:t>
      </w:r>
    </w:p>
    <w:p w:rsidR="001233FC" w:rsidRDefault="001233FC">
      <w:pPr>
        <w:pStyle w:val="ConsPlusTitle"/>
        <w:jc w:val="center"/>
      </w:pPr>
      <w:r>
        <w:t>ОРГАНАМИ ИСПОЛНИТЕЛЬНОЙ ВЛАСТИ, ОРГАНАМИ ГОСУДАРСТВЕННЫХ</w:t>
      </w:r>
    </w:p>
    <w:p w:rsidR="001233FC" w:rsidRDefault="001233FC">
      <w:pPr>
        <w:pStyle w:val="ConsPlusTitle"/>
        <w:jc w:val="center"/>
      </w:pPr>
      <w:r>
        <w:t>ВНЕБЮДЖЕТНЫХ ФОНДОВ, ИСПОЛНИТЕЛЬНЫМИ ОРГАНАМИ</w:t>
      </w:r>
    </w:p>
    <w:p w:rsidR="001233FC" w:rsidRDefault="001233FC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1233FC" w:rsidRDefault="001233FC">
      <w:pPr>
        <w:pStyle w:val="ConsPlusTitle"/>
        <w:jc w:val="center"/>
      </w:pPr>
      <w:r>
        <w:t>ОРГАНАМИ МЕСТНОГО САМОУПРАВЛЕНИЯ ПРИ ПРЕДОСТАВЛЕНИИ</w:t>
      </w:r>
    </w:p>
    <w:p w:rsidR="001233FC" w:rsidRDefault="001233FC">
      <w:pPr>
        <w:pStyle w:val="ConsPlusTitle"/>
        <w:jc w:val="center"/>
      </w:pPr>
      <w:r>
        <w:t>ГОСУДАРСТВЕННЫХ И МУНИЦИПАЛЬНЫХ УСЛУГ</w:t>
      </w:r>
    </w:p>
    <w:p w:rsidR="001233FC" w:rsidRDefault="001233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33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3FC" w:rsidRDefault="001233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3FC" w:rsidRDefault="001233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28.04.2022 N 237)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</w:tr>
    </w:tbl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I. Общие положения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Настоящие Методические рекомендации определяют подходы к организации функционирования информационных систем многофункциональных центров предоставления государственных и муниципальных услуг (МФЦ), средств безопасности, каналов связи, необходимых для обеспечения электронного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(далее - органы государственной власти и местного самоуправления) при предоставлении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2. Настоящими Методическими рекомендациями предлагается руководствоваться при создании и модернизации информационно-технологической и коммуникационной инфраструктуры МФЦ, в том числе при осуществлении работы с автоматизированной информационной системой многофункционального центра (далее - Система) работниками МФЦ и работниками организаций, привлекаемых к реализации функций МФЦ в соответствии с </w:t>
      </w:r>
      <w:hyperlink r:id="rId9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&lt;1&gt; (далее - Федеральный закон от 27 июля 2010 г. N 210-ФЗ) и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&lt;2&gt;, осуществляющими прием, выдачу, обработку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 муниципальной услуги и проведения отдельных административных процедур (далее - работник МФЦ).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2010, N 31, ст. 4179; 2012, N 31, ст. 4322; 2013, N 51, ст. 6679.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2012, N 53, ст. 7932; 2013, N 45, ст. 5807; 2014, N 20, ст. 2523; 2015, N 11, ст. 1594; N 29, ст. 4486; N 42, ст. 5789.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II. Аппаратное обеспечение и видеонаблюдение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Рабочие места работников МФЦ, в том числе, при необходимости, построенные по терминальной технологии, рекомендуется оснащать компьютерами со следующими характеристиками: процессор тактовой частоты 2 ГГц и выше; оперативная память 2048 Мб и выше; монитор разрешением 1280 x 1024 и выше, глубиной цвета 16 бит и выше.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В целях функционирования Системы надлежащим образом не рекомендуется оснащать рабочие места работников МФЦ компьютерами с характеристиками ниже следующих: процессор тактовой частоты 1 ГГц; оперативная память 512 Мб; монитор разрешением 1280 x 1024, глубиной цвета 16 бит.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Для сканирования документов рекомендуется использовать устройства с разрешением не менее 300 dpi.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Для печати документов рекомендуется использовать устройства с разрешением не менее 600 dpi.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Для обеспечения безопасности и оперативного контроля деятельности МФЦ рекомендуется обеспечить наличие систем видеонаблюдения.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III. Программное обеспечение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На рабочих местах работников МФЦ для работы в Системе рекомендуется устанавливать следующее программное обеспечение: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1.1. Средства защиты от несанкционированного доступа, в том числе межсетевой экран, а также средства криптографической защиты информации.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1.2. Средства электронной подписи.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1.3. Интернет-обозреватель.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1.4. Офисный пакет прикладного программного обеспечения.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1.5. Средства просмотра PDF-документов.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1.6. Средства просмотра графических файлов с поддержкой форматов TIFF, JPG, PNG и других.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При разработке Системы рекомендуется обеспечить максимально возможную независимость программного обеспечения от используемого аппаратного обеспечения.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Рекомендуется обеспечить использование единой Системы в многофункциональных центрах, расположенных на территории одного субъекта Российской Федерации.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IV. Информационная система поддержки деятельности МФЦ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В МФЦ рекомендуется использовать Систему, обладающую следующими функциональными возможностями: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1.1. Взаимодействие с единой системой межведомственного электронного взаимодействия (СМЭВ), региональной системой межведомственного электронного взаимодействия,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государственной информационной системой "Федеральный реестр государственных и муниципальных услуг (функций)", а также при необходимости с информационными системами, используемыми в целях формирования начислений и квитирования начислений с платежами.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1.2. Автоматизация процесса предоставления услуг в МФЦ, от приема документов от заявителя до выдачи ему результата.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lastRenderedPageBreak/>
        <w:t>1.3. Доступ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(далее - соглашение о взаимодействии) к электронным сервисам и (или) видам сведений органов, предоставляющих государственные услуги, и органов, предоставляющих муниципальные услуги, в том числе через СМЭВ, если иное не предусмотрено нормативными правовыми актами.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1.4. Интеграция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1.5. Автоматизация получения внутренней отчетности.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1.6. Интеграция с системой управления электронной очередью.</w:t>
      </w:r>
    </w:p>
    <w:p w:rsidR="001233FC" w:rsidRDefault="001233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33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3FC" w:rsidRDefault="001233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33FC" w:rsidRDefault="001233FC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1.7 </w:t>
            </w:r>
            <w:hyperlink w:anchor="P23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 декабря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3FC" w:rsidRDefault="001233FC">
            <w:pPr>
              <w:pStyle w:val="ConsPlusNormal"/>
            </w:pPr>
          </w:p>
        </w:tc>
      </w:tr>
    </w:tbl>
    <w:p w:rsidR="001233FC" w:rsidRDefault="001233FC">
      <w:pPr>
        <w:pStyle w:val="ConsPlusNormal"/>
        <w:spacing w:before="260"/>
        <w:ind w:firstLine="540"/>
        <w:jc w:val="both"/>
      </w:pPr>
      <w:bookmarkStart w:id="2" w:name="P91"/>
      <w:bookmarkEnd w:id="2"/>
      <w:r>
        <w:t>1.7. Предоставление в автоматизированном режиме сведений в информационную систему мониторинга деятельности МФЦ (ИС МДМ).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1.8. Публикация информации в информационно-телекоммуникационной сети "Интернет" об оказываемых с помощью МФЦ услугах, включая общие сведения об услугах, а также информацию о событиях и фактах, связанных с ходом предоставления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1.9. Экспертная поддержка заявителей, работников МФЦ и работников центра телефонного обслуживания по вопросам порядка и условий предоставления государственных и муниципальных услуг, в том числе в соответствии с технологическими схемами предоставления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1.10. Поддержка деятельности работников МФЦ по приему, выдаче, обработке документов, поэтапной фиксации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1.11.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1.12. Поддержка принятия решений о возможности, составе и порядке формирования межведомственного запроса в иные органы и организации.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1.13. Поддержка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1.14.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1.15. Автоматическое распределение нагрузки между работниками МФЦ.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1.16. 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1.17. Доступ заявителя к информации о ходе предоставления государственной или муниципальной услуги.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lastRenderedPageBreak/>
        <w:t>1.18. Формирование статистической и аналитической отчетности по итогам деятельности МФЦ за отчетный период.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1.19. Поддержание информационного обмена между МФЦ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1.20. Интеграция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1.21.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V. Характеристики каналов связи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В зависимости от архитектуры взаимодействия компонентов Системы рекомендуется организовать следующую пропускную способность канала связи между инфраструктурой оборудования Системы и рабочими местами работников МФЦ (без учета других программных и аппаратных продуктов, дающих нагрузку на канал связи):</w:t>
      </w:r>
    </w:p>
    <w:p w:rsidR="001233FC" w:rsidRDefault="001233FC">
      <w:pPr>
        <w:pStyle w:val="ConsPlusNormal"/>
        <w:spacing w:before="200"/>
        <w:ind w:firstLine="540"/>
        <w:jc w:val="both"/>
      </w:pPr>
      <w:bookmarkStart w:id="3" w:name="P110"/>
      <w:bookmarkEnd w:id="3"/>
      <w:r>
        <w:t>1.1. До 9-ти рабочих мест работников МФЦ для работы в Системе - от 256 Кбит/с на каждое рабочее место работника МФЦ (кроме случаев, когда у Системы имеется возможность функционировать надлежащим образом с использованием канала связи с меньшей пропускной способностью и МФЦ считает необходимым сократить пропускную способность указанного канала связи без ущерба для функционирования Системы).</w:t>
      </w:r>
    </w:p>
    <w:p w:rsidR="001233FC" w:rsidRDefault="001233FC">
      <w:pPr>
        <w:pStyle w:val="ConsPlusNormal"/>
        <w:spacing w:before="200"/>
        <w:ind w:firstLine="540"/>
        <w:jc w:val="both"/>
      </w:pPr>
      <w:bookmarkStart w:id="4" w:name="P111"/>
      <w:bookmarkEnd w:id="4"/>
      <w:r>
        <w:t>1.2. От 10-ти и более рабочих мест работников МФЦ для работы в Системе - от 2048 Кбит/сек на все рабочие места работников МФЦ (кроме случаев, когда у Системы имеется возможность функционировать надлежащим образом с использованием канала связи с меньшей пропускной способностью и МФЦ считает необходимым сократить пропускную способность указанного канала связи без ущерба для функционирования Системы).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Рекомендуется обеспечить резервирование канала связи между Системой и СМЭВ с пропускной способностью не менее 30% от пропускной способности основного канала связи, кроме случаев, когда у Системы имеется возможность функционировать надлежащим образом с использованием резервного канала связи с меньшей пропускной способностью и МФЦ считает необходимым сократить пропускную способность указанного канала связи без ущерба для функционирования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Для МФЦ, на территории обслуживания которых проживает более 100 000 человек, рекомендуется обеспечить резервирование канала связи между сервером Системы и рабочими местами работников МФЦ с пропускной способностью не менее 50% от пропускной способности основного канала связи, кроме случаев, когда у Системы имеется возможность функционировать надлежащим образом с использованием резервного канала связи с меньшей пропускной способностью и МФЦ считает необходимым сократить пропускную способность указанного канала связи без ущерба для функционирования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4. В случае невозможности обеспечения в МФЦ использования канала связи с указанной в </w:t>
      </w:r>
      <w:hyperlink w:anchor="P110">
        <w:r>
          <w:rPr>
            <w:color w:val="0000FF"/>
          </w:rPr>
          <w:t>пунктах 1.1</w:t>
        </w:r>
      </w:hyperlink>
      <w:r>
        <w:t xml:space="preserve"> и </w:t>
      </w:r>
      <w:hyperlink w:anchor="P111">
        <w:r>
          <w:rPr>
            <w:color w:val="0000FF"/>
          </w:rPr>
          <w:t>1.2</w:t>
        </w:r>
      </w:hyperlink>
      <w:r>
        <w:t xml:space="preserve"> настоящего раздела Методических рекомендаций пропускной способностью предлагается использовать решения с размещением сервера Системы в локальной сети с подключением рабочих компьютеров работников МФЦ либо решения, обеспечивающие формирование и обработку данных на рабочих местах работников МФЦ, независимо от доступности сервера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5. В случае недоступности канала связи рекомендуется обеспечить работоспособность базового функционала Системы с последующей синхронизацией информации с основным сервером Системы.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lastRenderedPageBreak/>
        <w:t>VI. Информационная безопасность</w:t>
      </w:r>
    </w:p>
    <w:p w:rsidR="001233FC" w:rsidRDefault="001233FC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Минэкономразвития России от 28.04.2022 N 237)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bookmarkStart w:id="5" w:name="P120"/>
      <w:bookmarkEnd w:id="5"/>
      <w:r>
        <w:t>1. При реализации мероприятий по созданию, развитию, вводу в эксплуатацию, эксплуатации и выводу из эксплуатации Системы и дальнейшему хранению содержащейся в ее базе данных информации рекомендуется выполнять: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а) требования о защите информации, содержащейся в Системе, устанавливаемые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б) требования к организации и мерам защиты информации, содержащейся в Системе;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в) требования к защите персональных данных, предусмотренные </w:t>
      </w:r>
      <w:hyperlink r:id="rId12">
        <w:r>
          <w:rPr>
            <w:color w:val="0000FF"/>
          </w:rPr>
          <w:t>частями 2</w:t>
        </w:r>
      </w:hyperlink>
      <w:r>
        <w:t xml:space="preserve">, </w:t>
      </w:r>
      <w:hyperlink r:id="rId13">
        <w:r>
          <w:rPr>
            <w:color w:val="0000FF"/>
          </w:rPr>
          <w:t>3 статьи 19</w:t>
        </w:r>
      </w:hyperlink>
      <w:r>
        <w:t xml:space="preserve"> Федерального закона от 27 июля 2006 г. N 152-ФЗ "О персональных данных".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2. В целях выполнения требований, предусмотренных </w:t>
      </w:r>
      <w:hyperlink w:anchor="P120">
        <w:r>
          <w:rPr>
            <w:color w:val="0000FF"/>
          </w:rPr>
          <w:t>пунктом 1</w:t>
        </w:r>
      </w:hyperlink>
      <w:r>
        <w:t xml:space="preserve"> настоящего раздела Методических рекомендаций, рекомендуется определять требования к защите информации, содержащейся в Системе, для чего рекомендуется осуществлять: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а) определение информации, подлежащей защите от неправомерных доступа, уничтожения, модифицирования, блокирования, копирования, предоставления, распространения, а также иных неправомерных действий в отношении такой информации;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б) анализ нормативных правовых актов, методических документов и национальных стандартов, которым должна соответствовать Система;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в) классификацию Системы в соответствии с </w:t>
      </w:r>
      <w:hyperlink r:id="rId14">
        <w:r>
          <w:rPr>
            <w:color w:val="0000FF"/>
          </w:rPr>
          <w:t>Требованиями</w:t>
        </w:r>
      </w:hyperlink>
      <w:r>
        <w:t xml:space="preserve"> о защите информации, не составляющей государственную тайну, содержащейся в государственных информационных системах, утвержденными приказом ФСТЭК России от 11 февраля 2013 г. N 17;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г) определение угроз безопасности информации, реализация которых может привести к нарушению безопасности информации в Системе, и разработку на их основе модели угроз безопасности информации;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д) определение на основе модели угроз безопасности информации уровня защищенности персональных данных, обрабатываемых в Системе, и </w:t>
      </w:r>
      <w:hyperlink r:id="rId15">
        <w:r>
          <w:rPr>
            <w:color w:val="0000FF"/>
          </w:rPr>
          <w:t>требований</w:t>
        </w:r>
      </w:hyperlink>
      <w:r>
        <w:t xml:space="preserve"> к системе защиты персональных данных в соответствии с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е) определение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в соответствии с </w:t>
      </w:r>
      <w:hyperlink r:id="rId16">
        <w:r>
          <w:rPr>
            <w:color w:val="0000FF"/>
          </w:rPr>
          <w:t>приказом</w:t>
        </w:r>
      </w:hyperlink>
      <w:r>
        <w:t xml:space="preserve"> ФСБ России от 10 июля 2014 г.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 и </w:t>
      </w:r>
      <w:hyperlink r:id="rId17">
        <w:r>
          <w:rPr>
            <w:color w:val="0000FF"/>
          </w:rPr>
          <w:t>приказом</w:t>
        </w:r>
      </w:hyperlink>
      <w:r>
        <w:t xml:space="preserve"> ФСТЭК России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Техническое задание на создание Системы и (или) модель угроз безопасности информации рекомендуется согласовывать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в части, касающейся выполнения установленных требований о защите информации.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Рекомендуется определить работников МФЦ, ответственных за соблюдение требований к защите информации, содержащейся в Системе, а также разработать и утвердить положения, определяющие общие подходы и требования к ее защите, основанные на положениях законодательства Российской Федерации об информации, информационных технологиях и о защите информации.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lastRenderedPageBreak/>
        <w:t>5. Рекомендуется разработать регламенты, инструкции, детализированные правила, устанавливающие порядок проведения мероприятий по защите персональных данных.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6. Рекомендуется доводить до работника МФЦ, осуществляющего обработку персональных данных, организационно-распорядительную документацию, определяющую порядок и способы защиты МФЦ персональных данных, подготовленную в соответствии с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 данных.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VII. Надежность работы Системы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Рекомендуется организовать работу Системы таким образом, чтобы прекращение функционирования одного или нескольких рабочих мест работников МФЦ, подключенных к Системе, не приводило к выходу из строя серверной части Системы или других рабочих мест работников МФЦ, подключенных к Системе.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Рекомендуется организовать работу Системы таким образом, чтобы импульсные помехи, сбои или прекращение электропитания не приводили к выходу из строя технических средств Системы или потере данных, за исключением данных незавершенных транзакций.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Рекомендуется обеспечить при перезапуске аппаратных средств Системы автоматическое восстановление работоспособности (при условии, что до перезапуска Система функционировала надлежащим образом).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Рекомендуется организовать работу Системы таким образом, чтобы прекращение электропитания серверной инфраструктуры Системы на время до пятнадцати минут не приводило к нештатному прекращению функционирования Системы. Рекомендуется предусмотреть средства оповещения работников МФЦ о прекращении электропитания серверной инфраструктуры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5. Рекомендуется осуществлять разграничение прав доступа к Системе, а также ведение журнала событий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6. Рекомендуется осуществлять резервное копирование данных и программного обеспечения Системы на технические средства, исключающие возможность одновременной утраты рабочей и резервной копии информации, содержащейся в Системе. Рекомендуемая периодичность резервного копирования данных составляет не реже одного раза в сутки.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7. Рекомендуется обеспечить время восстановления функционирования Системы из резервных копий до ее состояния на момент формирования резервных копий информации, содержащейся в Системе, не превышающее четырех часов.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VIII. Интеграция со СМЭВ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Рекомендуется обеспечить подключение Системы к СМЭВ.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Рекомендуется организовать подключение в соответствии с соглашениями о взаимодействии к электронным сервисам и (или) видам сведений органов, предоставляющих государственные услуги, и органов, предоставляющих муниципальные услуги, через СМЭВ, если иное не предусмотрено нормативными правовыми актами.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Рекомендуется обеспечить взаимодействие Системы с другими (внешними) информационными системами, используемыми для предоставления государственных или муниципальных услуг, в том числе с федеральной государственной информационной системой "Федеральный реестр государственных и муниципальных услуг (функций)" (далее - федеральный реестр), государственной информационной системой о государственных и муниципальных платежах (ГИС ГМП), ИС МДМ и иными информационными системами органов государственной власти и местного самоуправления, с использованием инфраструктуры СМЭВ.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При интеграции Системы со СМЭВ рекомендуется обеспечить ознакомление работников МФЦ, осуществляющих подключение системы к СМЭВ, с положениями следующих нормативных правовых актов и документов: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3.1.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2010, N 38, ст. 4823; 2011, N 24, ст. 3503; N 49, ст. 7284; 2013, N 45, ст. 5827; 2014, N 12, ст. 1303; N 42, ст. 5746; N 48, ст. 6862, 6876; N 50, ст. 7113; 2016, N 34, ст. 5243.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3.2.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2011, N 24, ст. 3503; N 44, ст. 6274; N 49, ст. 7284; 2012, N 39, ст. 5269; N 53, ст. 7938; 2013, N 27, ст. 3612; N 41, ст. 5188; N 45, ст. 5827; N 52, ст. 7218; 2014, N 30, ст. 4318; N 48, ст. 6876; N 50, ст. 7113; 2016, N 34, ст. 5247.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3.3. </w:t>
      </w:r>
      <w:hyperlink r:id="rId20">
        <w:r>
          <w:rPr>
            <w:color w:val="0000FF"/>
          </w:rPr>
          <w:t>Приказ</w:t>
        </w:r>
      </w:hyperlink>
      <w:r>
        <w:t xml:space="preserve"> Минкомсвязи России от 1 июля 2014 г. N 184 "О реализации положений постановления Правительства Российской Федерации от 19 марта 2014 г. N 208 "О внесении изменений в положение о единой системе межведомственного электронного взаимодействия"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Зарегистрирован в Минюсте России 4 августа 2014 г., регистрационный N 33437.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3.4. </w:t>
      </w:r>
      <w:hyperlink r:id="rId21">
        <w:r>
          <w:rPr>
            <w:color w:val="0000FF"/>
          </w:rPr>
          <w:t>Приказ</w:t>
        </w:r>
      </w:hyperlink>
      <w:r>
        <w:t xml:space="preserve"> Минкомсвязи России от 23 июня 2015 г. N 210 "Об утверждении Технических требований к взаимодействию информационных систем в единой системе межведомственного электронного взаимодействия"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Зарегистрирован в Минюсте России 25 августа 2015 г., регистрационный N 38668.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3.5. Методические рекомендации по разработке электронных сервисов и применению технологии электронной подписи при межведомственном электронном взаимодействии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Размещены на Портале "Технологический портал СМЭВ" в информационно-телекоммуникационной сети "Интернет": http://smev.gosuslugi.ru.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3.6. Правила разработки форматов взаимодействия с использованием единого электронного сервиса единой системы межведомственного электронного взаимодействия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Размещены на Портале "Технологический портал СМЭВ" в информационно-телекоммуникационной сети "Интернет": http://smev.gosuslugi.ru.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IX. Интеграция с информационными системами органов</w:t>
      </w:r>
    </w:p>
    <w:p w:rsidR="001233FC" w:rsidRDefault="001233FC">
      <w:pPr>
        <w:pStyle w:val="ConsPlusTitle"/>
        <w:jc w:val="center"/>
      </w:pPr>
      <w:r>
        <w:t>государственной власти и местного самоуправления,</w:t>
      </w:r>
    </w:p>
    <w:p w:rsidR="001233FC" w:rsidRDefault="001233FC">
      <w:pPr>
        <w:pStyle w:val="ConsPlusTitle"/>
        <w:jc w:val="center"/>
      </w:pPr>
      <w:r>
        <w:t>участвующих в предоставлении государственных</w:t>
      </w:r>
    </w:p>
    <w:p w:rsidR="001233FC" w:rsidRDefault="001233FC">
      <w:pPr>
        <w:pStyle w:val="ConsPlusTitle"/>
        <w:jc w:val="center"/>
      </w:pPr>
      <w:r>
        <w:t>и муниципальных услуг &lt;1&gt;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Спецификации электронных сервисов для информационного взаимодействия с информационной системой мониторинга государственных услуг размещены по адресу в информационно-телекоммуникационной сети "Интернет": https://vashkontrol.ru/hershel, раздел "Разработчикам".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1. Рекомендуется обеспечивать выполнение Системой параллельных и последовательных запросов в информационные системы органов государственной власти и местного самоуправления, участвующих в предоставлении государственных и муниципальных услуг, с использованием СМЭВ </w:t>
      </w:r>
      <w:r>
        <w:lastRenderedPageBreak/>
        <w:t>(в том числе региональной системы межведомственного электронного взаимодействия).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Направленные межведомственные запросы и полученные с использованием СМЭВ ответы на межведомственные запросы рекомендуется сохранять в Системе в неизменном виде в течение одного календарного года с момента передачи результатов предоставления государственных или муниципальных услуг заявителю.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Вызов электронных сервисов и (или) видов сведений СМЭВ, формирование квалифицированной электронной подписи должностного лица рекомендуется осуществлять из основного пользовательского интерфейса Системы. Формирование квалифицированной электронной подписи, используемой органом государственной власти и местного самоуправления, может осуществляться либо из основного пользовательского интерфейса Системы, либо автоматически без непосредственного участия работника МФЦ на сервере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Взаимодействие со СМЭВ рекомендуется осуществлять на основе использования в Системе отдельного подключаемого программного модуля для работы с электронными сервисами и (или) видами сведений. Подключение программных модулей для использования дополнительных электронных сервисов и (или) видов сведений рекомендуется реализовывать с помощью установки и настройки подключаемых программных модулей, а не модернизации всей Системы.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5. Входящие электронные сообщения из СМЭВ рекомендуется подвергать проверке в части подлинности и целостности электронных сообщений и действительности сертификатов ключей проверки электронных подписей.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6. Рекомендуется обеспечить передачу запросов Системы о предоставлении сведений, необходимых для предоставления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7. Рекомендуется организовать в Системе получение информации о ходе и результатах предоставления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8. Рекомендуется обеспечить возможность информационного взаимодействия Системы с автоматизированными информационными системами других МФЦ и организаций, привлекаемых для реализации функций МФЦ, через СМЭВ в целях передачи (получения) результатов предоставления государственных и муниципальных услуг.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X. Интеграция с ГИС ГМП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При взаимодействии Системы с ГИС ГМП рекомендуется реализовать следующие возможности: печать документов, связанных с оплатой государственных и муниципальных услуг, получение информации об оплате государственных и муниципальных услуг из ГИС ГМП.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2. Рекомендуется обеспечить ознакомление работников МФЦ с </w:t>
      </w:r>
      <w:hyperlink r:id="rId22">
        <w:r>
          <w:rPr>
            <w:color w:val="0000FF"/>
          </w:rPr>
          <w:t>приказом</w:t>
        </w:r>
      </w:hyperlink>
      <w:r>
        <w:t xml:space="preserve"> Федерального казначейства от 30 ноября 2012 г. N 19н "Об утверждении Порядка ведения Государственной информационной системы о государственных и муниципальных платежах" &lt;1&gt;, в соответствии с которым осуществляется взаимодействие с ГИС ГМП.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Зарегистрирован в Минюсте России 25 декабря 2012 г., регистрационный N 26329.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3. Рекомендуется отображать в Системе полученные из ГИС ГМП ответы на запросы о платежах с указанием даты платежа, суммы платежа, идентификатора плательщика, реквизитов получателя платежа и назначения платежа.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При взаимодействии с ГИС ГМП рекомендуется реализовать следующие запросы: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4.1. О начислениях за временной период по уникальным идентификаторам начислений.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4.2. О начислениях за временной период по уникальным идентификаторам плательщиков.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4.3. О платежах за временной период по уникальным идентификаторам начислений.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4.4. О платежах за временной период по уникальным идентификаторам плательщиков.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4.5. О статусах квитирования по уникальным идентификаторам начислений.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lastRenderedPageBreak/>
        <w:t>4.6. О статусах квитирования по уникальным идентификаторам плательщиков.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XI. Интеграция с федеральной государственной информационной</w:t>
      </w:r>
    </w:p>
    <w:p w:rsidR="001233FC" w:rsidRDefault="001233FC">
      <w:pPr>
        <w:pStyle w:val="ConsPlusTitle"/>
        <w:jc w:val="center"/>
      </w:pPr>
      <w:r>
        <w:t>системой "Единый портал государственных и муниципальных</w:t>
      </w:r>
    </w:p>
    <w:p w:rsidR="001233FC" w:rsidRDefault="001233FC">
      <w:pPr>
        <w:pStyle w:val="ConsPlusTitle"/>
        <w:jc w:val="center"/>
      </w:pPr>
      <w:r>
        <w:t>услуг (функций)", региональными порталами государственных</w:t>
      </w:r>
    </w:p>
    <w:p w:rsidR="001233FC" w:rsidRDefault="001233FC">
      <w:pPr>
        <w:pStyle w:val="ConsPlusTitle"/>
        <w:jc w:val="center"/>
      </w:pPr>
      <w:r>
        <w:t>и муниципальных услуг, федеральной государственной</w:t>
      </w:r>
    </w:p>
    <w:p w:rsidR="001233FC" w:rsidRDefault="001233FC">
      <w:pPr>
        <w:pStyle w:val="ConsPlusTitle"/>
        <w:jc w:val="center"/>
      </w:pPr>
      <w:r>
        <w:t>информационной системой "Единая система идентификации</w:t>
      </w:r>
    </w:p>
    <w:p w:rsidR="001233FC" w:rsidRDefault="001233FC">
      <w:pPr>
        <w:pStyle w:val="ConsPlusTitle"/>
        <w:jc w:val="center"/>
      </w:pPr>
      <w:r>
        <w:t>и аутентификации в инфраструктуре, обеспечивающей</w:t>
      </w:r>
    </w:p>
    <w:p w:rsidR="001233FC" w:rsidRDefault="001233FC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1233FC" w:rsidRDefault="001233FC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1233FC" w:rsidRDefault="001233FC">
      <w:pPr>
        <w:pStyle w:val="ConsPlusTitle"/>
        <w:jc w:val="center"/>
      </w:pPr>
      <w:r>
        <w:t>и муниципальных услуг в электронной форме"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Рекомендуется обеспечивать взаимодействие Системы с единой системой идентификации и аутентификации и ознакомление работников МФЦ с положениями следующих нормативных правовых актов и документов: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1.1.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2011, N 49, ст. 7284; 2012, N 39, ст. 5269; 2013, N 5, ст. 377; N 45, ст. 5807; N 50, ст. 6601.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1.2. </w:t>
      </w:r>
      <w:hyperlink r:id="rId24">
        <w:r>
          <w:rPr>
            <w:color w:val="0000FF"/>
          </w:rPr>
          <w:t>Приказ</w:t>
        </w:r>
      </w:hyperlink>
      <w:r>
        <w:t xml:space="preserve"> Минкомсвязи России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Зарегистрирован в Минюсте России 26 апреля 2012 г., регистрационный N 23952, с изменениями, внесенными приказами Минкомсвязи России от 31 августа 2012 г. N 218 "О внесении изменений в Положение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утвержденное приказом Министерства связи и массовых коммуникаций Российской Федерации от 13 апреля 2012 г. N 107" (зарегистрирован в Министерстве юстиции Российской Федерации 27 сентября 2012 г., регистрационный N 25546), от 23 июля 2015 г. N 278 "О внесении изменений в положение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утвержденного приказом Минкомсвязи России от 13 апреля 2012 г. N 107" (зарегистрирован в Минюсте России 26 октября 2015 г., регистрационный N 39470) и от 7 июля 2016 г. N 307 "О внесении изменений в Положение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утвержденное приказом Министерства связи и массовых коммуникаций Российской Федерации от 13 апреля 2012 г. N 107" (зарегистрирован в Минюсте России 21 ноября 2016 г., регистрационный N 44379).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1.3. Методические рекомендации по использованию единой системы идентификации и аутентификации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Размещены на официальном сайте Минкомсвязи России в информационно-телекоммуникационной сети "Интернет": http://minsvyaz.ru.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1.4. </w:t>
      </w:r>
      <w:hyperlink r:id="rId25">
        <w:r>
          <w:rPr>
            <w:color w:val="0000FF"/>
          </w:rPr>
          <w:t>Регламент</w:t>
        </w:r>
      </w:hyperlink>
      <w:r>
        <w:t xml:space="preserve"> взаимодействия Участников информационного взаимодействия с Оператором единой системы идентификации и аутентификации и Оператором инфраструктуры электронного правительства при организации информационно-технологического взаимодействия информационных систем с использованием единой системы идентификации и аутентификации &lt;1&gt;.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Размещен на официальном сайте Минкомсвязи России в информационно-телекоммуникационной сети "Интернет": http://minsvyaz.ru.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2. Для работы с Системой рекомендуется организовать прохождение работниками МФЦ идентификации и аутентификации в единой системе идентификации и аутентификации.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При взаимодействии Системы с единой системой идентификации и аутентификации рекомендуется обеспечить возможность осуществления работниками МФЦ следующих действий: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3.1. Регистрации учетной записи заявителей в единой системе идентификации и аутентификации.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3.2. Подтверждения учетной записи заявителей в единой системе идентификации и аутентификации.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3.3. Восстановления доступа к учетной записи заявителей в единой системе идентификации и аутентификации.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В Системе рекомендуется реализовать прикладной программный интерфейс получения запроса информации о ходе предоставления государственной и муниципальной услуги для интеграции с федеральной государственной информационной системой "Единый портал государственных и муниципальных услуг (функций)" и (или) региональными порталами государственных и муниципальных услуг в части передачи информации о ходе предоставления государственных 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5. Прикладной программный интерфейс получения запроса информации о ходе предоставления государственной и муниципальной услуги рекомендуется реализовать с использованием электронного сервиса и (или) вида сведений СМЭВ.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XII. Интеграция с федеральным реестром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В Системе рекомендуется реализовать возможность импорта информации из федерального реестра.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При настройке государственных и муниципальных услуг в Системе рекомендуется обеспечить загрузку сведений о государственных и муниципальных услугах и справочной информации об органах государственной власти и местного самоуправления из федерального реестра в Систему.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XIII. Интеграция с автоматизированной информационной</w:t>
      </w:r>
    </w:p>
    <w:p w:rsidR="001233FC" w:rsidRDefault="001233FC">
      <w:pPr>
        <w:pStyle w:val="ConsPlusTitle"/>
        <w:jc w:val="center"/>
      </w:pPr>
      <w:r>
        <w:t>системой "Информационно-аналитическая система мониторинга</w:t>
      </w:r>
    </w:p>
    <w:p w:rsidR="001233FC" w:rsidRDefault="001233FC">
      <w:pPr>
        <w:pStyle w:val="ConsPlusTitle"/>
        <w:jc w:val="center"/>
      </w:pPr>
      <w:r>
        <w:t>качества государственных услуг"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 xml:space="preserve">1. В целях обеспечения функциональной возможности сбора и передачи информации о качестве предоставления государственных услуг в соответствии с </w:t>
      </w:r>
      <w:hyperlink r:id="rId26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&lt;1&gt; (далее - постановление Правительства Российской Федерации от 12 декабря 2012 г. N 1284), рекомендуется реализовать пользовательский интерфейс Системы, позволяющий обеспечить фиксацию и дальнейшую передачу в автоматизированную информационную систему "Информационно-аналитическая система мониторинга качества государственных услуг" (далее - информационная система </w:t>
      </w:r>
      <w:r>
        <w:lastRenderedPageBreak/>
        <w:t xml:space="preserve">мониторинга государственных услуг) сведений о месте, времени предоставления государственной услуги, ее типе, а также контактных данных (абонентский номер устройства подвижной радиотелефонной связи, на который поступит короткое текстовое сообщение с предложением дать интегральную оценку качества предоставленной ему государственной услуги по пятибалльной шкале) гражданина, изъявившего желание участвовать в оценке качества предоставленной ему государственной услуги. Указанный интерфейс системы рекомендуется реализовать таким образом, чтобы он обеспечивал возможность гражданину оперативно оценить качество предоставленной ему услуги непосредственно в МФЦ при помощи терминального либо иного устройства, расположенного в МФЦ (в частности, информационного киоска со сканером-считывателем штрих-кодов, планшетного компьютера или иного терминального устройства, позволяющего обеспечить сбор необходимых данных) по каждому из критериев качества, определенных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декабря 2012 г. N 1284.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2012, N 51, ст. 7219; 2015, N 11, ст. 1603; N 40, ст. 5555.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2. Рекомендуется предусмотреть пятибалльную шкалу оценки критериев, где 1 - это низшая оценка (заявитель полностью неудовлетворен), а 5 - это высшая оценка (заявитель полностью удовлетворен).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3. В случае наличия в субъекте Российской Федерации действующей региональной системы оценки качества предоставления услуг рекомендуется обеспечить возможность интеграции с информационной системой мониторинга государственных услуг и сопоставления параметров оценок региональной системы оценки качества предоставления услуг с параметрами оценок из информационной системы мониторинга государственных услуг, определенных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декабря 2012 г. N 1284.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Передачу необходимых сведений в информационную систему мониторинга государственных услуг рекомендуется осуществлять с использованием электронных сервисов и (или) видов сведений СМЭВ.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5. Рекомендуется предоставлять доступ к пользовательскому интерфейсу Системы ответственному работнику МФЦ для просмотра сводной информации по полученным от заявителей оценкам качества государственных услуг.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XIV. Интеграция с ИС МДМ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В Системе рекомендуется обеспечить возможность передачи сведений о предоставлении государственных и муниципальных услуг в ИС МДМ.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Рекомендуется осуществить подключение Системы к ИС МДМ до 1 декабря 2017 года.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XV. Реализация систем управления электронной очередью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bookmarkStart w:id="6" w:name="P269"/>
      <w:bookmarkEnd w:id="6"/>
      <w:r>
        <w:t>1. Рекомендуется реализовать в Системе функционал управления электронной очередью, имеющий следующие возможности: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1.1. Регистрацию заявителя в Системе с помощью терминала электронной очереди и (или) с помощью внешних информационных систем, реализующих возможность предварительной записи на прием.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1.2. Генерацию в Системе записи с идентификатором государственной или муниципальной услуги или цели визита (подача заявления, выяснение статуса, получение результата предоставления государственной или муниципальной услуги и иные цели).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1.3. Передачу Системой идентификатора талона и номера окна оператора приема на информационное табло в зале (или иные предусмотренные средства оповещения) для информирования заявителя.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1.4. Возможность вызова из Системы следующего заявителя, зарегистрированного в очереди.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1.5. Возможность отложить обслуживание вызванного заявителя в Системе на определенное </w:t>
      </w:r>
      <w:r>
        <w:lastRenderedPageBreak/>
        <w:t>время.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1.6. Возможность завершения обслуживания заявителя.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1.7. Возможность перенаправления заявителя в другое окно.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1.8. Получение в Системе списка талонов текущей очереди.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1.9. Возможность привязки талона к определенному окну.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1.10. Возможность вызова из Системы заявителя по определенному номеру.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1.11. Возможность формирования в Системе статистической отчетности об очереди за определенный период.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1.12. Возможность установки приоритета вызова талона для отдельных категорий граждан.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В случае если в Системе не предусмотрен функционал управления электронной очередью, рекомендуется предусмотреть универсальный интерфейс интеграции Системы с внешними информационными системами ведения электронных очередей, реализованных электронным сервисом.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 xml:space="preserve">3. В случае интеграции Системы с внешней системой управления электронной очередью рекомендуется обеспечить функционал в соответствии с </w:t>
      </w:r>
      <w:hyperlink w:anchor="P269">
        <w:r>
          <w:rPr>
            <w:color w:val="0000FF"/>
          </w:rPr>
          <w:t>пунктом 1</w:t>
        </w:r>
      </w:hyperlink>
      <w:r>
        <w:t xml:space="preserve"> настоящего раздела.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XVI. Реализация системы центра телефонного обслуживания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1. Рекомендуется реализовать в Системе модуль телефонного обслуживания для взаимодействия с заявителями в целях предоставления данных о статусе предоставления государственных или муниципальных услуг и информирования заявителей о результате предоставления государственных или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2. В случае если в Системе не реализован модуль телефонного обслуживания, рекомендуется предоставлять возможность информационного обмена Системы с центром телефонного обслуживания.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 Рекомендуется обеспечить следующие возможности по информированию заявителей о ходе предоставления государственных и муниципальных услуг: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3.1. Инициация звонка заявителю по мере изменения статуса обрабатываемой государственной или муниципальной услуги.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3.2. Прием звонка заявителя с последующей возможностью предоставления ему информации о текущем статусе предоставления государственных или муниципальных услуг.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3.3. Организация голосового меню посредством приема тональных сообщений управления личным кабинетом заявителя.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3.4. Оповещение о наличии дел в работе посредством голосового меню с возможностью выбора конкретного заявления.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3.5. Оповещение о состоянии выбранного дела при выборе его из голосового меню.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4. В Системе рекомендуется реализовать возможность записи контактной информации (номер телефона) заявителя и фиксации факта уведомления заявителя о готовности результата оказания государственной или муниципальной услуги по телефону.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Title"/>
        <w:jc w:val="center"/>
        <w:outlineLvl w:val="1"/>
      </w:pPr>
      <w:r>
        <w:t>XVII. Выдача экземпляров электронных документов</w:t>
      </w:r>
    </w:p>
    <w:p w:rsidR="001233FC" w:rsidRDefault="001233FC">
      <w:pPr>
        <w:pStyle w:val="ConsPlusTitle"/>
        <w:jc w:val="center"/>
      </w:pPr>
      <w:r>
        <w:t>на бумажном носителе по результатам предоставления</w:t>
      </w:r>
    </w:p>
    <w:p w:rsidR="001233FC" w:rsidRDefault="001233FC">
      <w:pPr>
        <w:pStyle w:val="ConsPlusTitle"/>
        <w:jc w:val="center"/>
      </w:pPr>
      <w:r>
        <w:t>государственных и муниципальных услуг и выписок</w:t>
      </w:r>
    </w:p>
    <w:p w:rsidR="001233FC" w:rsidRDefault="001233FC">
      <w:pPr>
        <w:pStyle w:val="ConsPlusTitle"/>
        <w:jc w:val="center"/>
      </w:pPr>
      <w:r>
        <w:t>из информационных систем органов, предоставляющих</w:t>
      </w:r>
    </w:p>
    <w:p w:rsidR="001233FC" w:rsidRDefault="001233FC">
      <w:pPr>
        <w:pStyle w:val="ConsPlusTitle"/>
        <w:jc w:val="center"/>
      </w:pPr>
      <w:r>
        <w:t>государственные услуги, и органов, предоставляющих</w:t>
      </w:r>
    </w:p>
    <w:p w:rsidR="001233FC" w:rsidRDefault="001233FC">
      <w:pPr>
        <w:pStyle w:val="ConsPlusTitle"/>
        <w:jc w:val="center"/>
      </w:pPr>
      <w:r>
        <w:t>муниципальные услуги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ind w:firstLine="540"/>
        <w:jc w:val="both"/>
      </w:pPr>
      <w:r>
        <w:t>В Системе рекомендуется реализовать возможность выдачи: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lastRenderedPageBreak/>
        <w:t>- экземпляров электронных документов на бумажном носителе, соответствующих требованиям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услуг;</w:t>
      </w:r>
    </w:p>
    <w:p w:rsidR="001233FC" w:rsidRDefault="001233FC">
      <w:pPr>
        <w:pStyle w:val="ConsPlusNormal"/>
        <w:spacing w:before="200"/>
        <w:ind w:firstLine="540"/>
        <w:jc w:val="both"/>
      </w:pPr>
      <w:r>
        <w:t>- выписок из информационных систем органов, предоставляющих государственные услуги и органов, предоставляющих муниципальные услуги, соответствующих требованиям к содержанию и формату таких выписок, установленным федеральными законами, законами субъектов Российской Федерации, муниципальными правовыми актами и принимаемыми в соответствии с ними правовыми актами, а также требованиям, которые предусмотрены соглашениями о взаимодействии.</w:t>
      </w: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jc w:val="both"/>
      </w:pPr>
    </w:p>
    <w:p w:rsidR="001233FC" w:rsidRDefault="001233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BEF" w:rsidRDefault="00D70BEF">
      <w:bookmarkStart w:id="7" w:name="_GoBack"/>
      <w:bookmarkEnd w:id="7"/>
    </w:p>
    <w:sectPr w:rsidR="00D70BEF" w:rsidSect="00AF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FC"/>
    <w:rsid w:val="001233FC"/>
    <w:rsid w:val="00D7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9CF9-F1DA-4ACA-B8BA-75C589B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33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33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9A337C00227D8E5461E370DA881736A4D3D40146C07F3379C81618C6BA71CDDA77F8005F724C07D68DAC2E1BD01B5E567366434BA762FCDyAC" TargetMode="External"/><Relationship Id="rId13" Type="http://schemas.openxmlformats.org/officeDocument/2006/relationships/hyperlink" Target="consultantplus://offline/ref=E7A9A337C00227D8E5461E370DA881736A4E3944166E07F3379C81618C6BA71CDDA77F8005F727C87968DAC2E1BD01B5E567366434BA762FCDyAC" TargetMode="External"/><Relationship Id="rId18" Type="http://schemas.openxmlformats.org/officeDocument/2006/relationships/hyperlink" Target="consultantplus://offline/ref=E7A9A337C00227D8E5461E370DA881736A4E3946116F07F3379C81618C6BA71CCFA7278C07F13AC1797D8C93A7CEyAC" TargetMode="External"/><Relationship Id="rId26" Type="http://schemas.openxmlformats.org/officeDocument/2006/relationships/hyperlink" Target="consultantplus://offline/ref=E7A9A337C00227D8E5461E370DA881736A4D3C471B6D07F3379C81618C6BA71CDDA77F8005F724C77068DAC2E1BD01B5E567366434BA762FCDy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A9A337C00227D8E5461E370DA881736C4D3C411B6707F3379C81618C6BA71CCFA7278C07F13AC1797D8C93A7CEyAC" TargetMode="External"/><Relationship Id="rId7" Type="http://schemas.openxmlformats.org/officeDocument/2006/relationships/hyperlink" Target="consultantplus://offline/ref=E7A9A337C00227D8E5461E370DA881736F49334E166707F3379C81618C6BA71CCFA7278C07F13AC1797D8C93A7CEyAC" TargetMode="External"/><Relationship Id="rId12" Type="http://schemas.openxmlformats.org/officeDocument/2006/relationships/hyperlink" Target="consultantplus://offline/ref=E7A9A337C00227D8E5461E370DA881736A4E3944166E07F3379C81618C6BA71CDDA77F8005F727C77968DAC2E1BD01B5E567366434BA762FCDyAC" TargetMode="External"/><Relationship Id="rId17" Type="http://schemas.openxmlformats.org/officeDocument/2006/relationships/hyperlink" Target="consultantplus://offline/ref=E7A9A337C00227D8E5461E370DA881736D493D4E176607F3379C81618C6BA71CCFA7278C07F13AC1797D8C93A7CEyAC" TargetMode="External"/><Relationship Id="rId25" Type="http://schemas.openxmlformats.org/officeDocument/2006/relationships/hyperlink" Target="consultantplus://offline/ref=E7A9A337C00227D8E5461E370DA881736F4433421B6C07F3379C81618C6BA71CDDA77F8005F724C07B68DAC2E1BD01B5E567366434BA762FCDy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A9A337C00227D8E5461E370DA881736F4A3C4E146D07F3379C81618C6BA71CCFA7278C07F13AC1797D8C93A7CEyAC" TargetMode="External"/><Relationship Id="rId20" Type="http://schemas.openxmlformats.org/officeDocument/2006/relationships/hyperlink" Target="consultantplus://offline/ref=E7A9A337C00227D8E5461E370DA881736F4A3C47106C07F3379C81618C6BA71CCFA7278C07F13AC1797D8C93A7CEyA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A9A337C00227D8E5461E370DA881736A4E334F146C07F3379C81618C6BA71CDDA77F8406FC70913D368391A3F60DB7FD7B3766C2y8C" TargetMode="External"/><Relationship Id="rId11" Type="http://schemas.openxmlformats.org/officeDocument/2006/relationships/hyperlink" Target="consultantplus://offline/ref=E7A9A337C00227D8E5461E370DA881736A4D3D40146C07F3379C81618C6BA71CDDA77F8005F724C07168DAC2E1BD01B5E567366434BA762FCDyAC" TargetMode="External"/><Relationship Id="rId24" Type="http://schemas.openxmlformats.org/officeDocument/2006/relationships/hyperlink" Target="consultantplus://offline/ref=E7A9A337C00227D8E5461E370DA881736C4C3C421B6907F3379C81618C6BA71CCFA7278C07F13AC1797D8C93A7CEyAC" TargetMode="External"/><Relationship Id="rId5" Type="http://schemas.openxmlformats.org/officeDocument/2006/relationships/hyperlink" Target="consultantplus://offline/ref=E7A9A337C00227D8E5461E370DA881736A4D3D40146C07F3379C81618C6BA71CDDA77F8005F724C07D68DAC2E1BD01B5E567366434BA762FCDyAC" TargetMode="External"/><Relationship Id="rId15" Type="http://schemas.openxmlformats.org/officeDocument/2006/relationships/hyperlink" Target="consultantplus://offline/ref=E7A9A337C00227D8E5461E370DA881736F4F3C45176907F3379C81618C6BA71CDDA77F8005F724C07068DAC2E1BD01B5E567366434BA762FCDyAC" TargetMode="External"/><Relationship Id="rId23" Type="http://schemas.openxmlformats.org/officeDocument/2006/relationships/hyperlink" Target="consultantplus://offline/ref=E7A9A337C00227D8E5461E370DA881736A4D3C46146D07F3379C81618C6BA71CCFA7278C07F13AC1797D8C93A7CEyAC" TargetMode="External"/><Relationship Id="rId28" Type="http://schemas.openxmlformats.org/officeDocument/2006/relationships/hyperlink" Target="consultantplus://offline/ref=E7A9A337C00227D8E5461E370DA881736A4D3C471B6D07F3379C81618C6BA71CCFA7278C07F13AC1797D8C93A7CEyAC" TargetMode="External"/><Relationship Id="rId10" Type="http://schemas.openxmlformats.org/officeDocument/2006/relationships/hyperlink" Target="consultantplus://offline/ref=E7A9A337C00227D8E5461E370DA881736A4E3D4E136807F3379C81618C6BA71CDDA77F8005F724C17968DAC2E1BD01B5E567366434BA762FCDyAC" TargetMode="External"/><Relationship Id="rId19" Type="http://schemas.openxmlformats.org/officeDocument/2006/relationships/hyperlink" Target="consultantplus://offline/ref=E7A9A337C00227D8E5461E370DA881736A4E39441B6707F3379C81618C6BA71CCFA7278C07F13AC1797D8C93A7CEy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A9A337C00227D8E5461E370DA881736A4D394E146B07F3379C81618C6BA71CDDA77F8005F727C57B68DAC2E1BD01B5E567366434BA762FCDyAC" TargetMode="External"/><Relationship Id="rId14" Type="http://schemas.openxmlformats.org/officeDocument/2006/relationships/hyperlink" Target="consultantplus://offline/ref=E7A9A337C00227D8E5461E370DA881736D493E4E1B6C07F3379C81618C6BA71CDDA77F8005F724C17968DAC2E1BD01B5E567366434BA762FCDyAC" TargetMode="External"/><Relationship Id="rId22" Type="http://schemas.openxmlformats.org/officeDocument/2006/relationships/hyperlink" Target="consultantplus://offline/ref=E7A9A337C00227D8E5461E370DA881736F483B46126907F3379C81618C6BA71CCFA7278C07F13AC1797D8C93A7CEyAC" TargetMode="External"/><Relationship Id="rId27" Type="http://schemas.openxmlformats.org/officeDocument/2006/relationships/hyperlink" Target="consultantplus://offline/ref=E7A9A337C00227D8E5461E370DA881736A4D3C471B6D07F3379C81618C6BA71CCFA7278C07F13AC1797D8C93A7CEyA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7356</Words>
  <Characters>41933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Пустобаева Анна Сергеевна</dc:creator>
  <cp:keywords/>
  <dc:description/>
  <cp:lastModifiedBy>Пустобаева Анна Сергеевна</cp:lastModifiedBy>
  <cp:revision>1</cp:revision>
  <dcterms:created xsi:type="dcterms:W3CDTF">2022-10-26T02:50:00Z</dcterms:created>
  <dcterms:modified xsi:type="dcterms:W3CDTF">2022-10-26T02:50:00Z</dcterms:modified>
</cp:coreProperties>
</file>